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3EE" w:rsidRDefault="00AF03EE" w:rsidP="00AF03EE">
      <w:pPr>
        <w:shd w:val="clear" w:color="auto" w:fill="FFFFFF"/>
        <w:spacing w:before="100" w:beforeAutospacing="1" w:after="100" w:afterAutospacing="1" w:line="384" w:lineRule="atLeast"/>
        <w:jc w:val="center"/>
        <w:rPr>
          <w:rFonts w:ascii="Arial" w:eastAsia="Times New Roman" w:hAnsi="Arial" w:cs="Arial"/>
          <w:b/>
          <w:bCs/>
          <w:sz w:val="24"/>
          <w:szCs w:val="24"/>
          <w:u w:val="single"/>
          <w:lang w:val="en-GB" w:eastAsia="en-IN"/>
        </w:rPr>
      </w:pPr>
      <w:r>
        <w:rPr>
          <w:rFonts w:ascii="Arial" w:eastAsia="Times New Roman" w:hAnsi="Arial" w:cs="Arial"/>
          <w:b/>
          <w:bCs/>
          <w:noProof/>
          <w:sz w:val="24"/>
          <w:szCs w:val="24"/>
          <w:u w:val="single"/>
          <w:lang w:eastAsia="en-IN"/>
        </w:rPr>
        <w:drawing>
          <wp:inline distT="0" distB="0" distL="0" distR="0">
            <wp:extent cx="4781550" cy="895350"/>
            <wp:effectExtent l="19050" t="0" r="0" b="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stretch>
                      <a:fillRect/>
                    </a:stretch>
                  </pic:blipFill>
                  <pic:spPr>
                    <a:xfrm>
                      <a:off x="0" y="0"/>
                      <a:ext cx="4781550" cy="895350"/>
                    </a:xfrm>
                    <a:prstGeom prst="rect">
                      <a:avLst/>
                    </a:prstGeom>
                  </pic:spPr>
                </pic:pic>
              </a:graphicData>
            </a:graphic>
          </wp:inline>
        </w:drawing>
      </w:r>
    </w:p>
    <w:p w:rsidR="00AF03EE" w:rsidRDefault="00AF03EE" w:rsidP="00AF03EE">
      <w:pPr>
        <w:shd w:val="clear" w:color="auto" w:fill="FFFFFF"/>
        <w:spacing w:before="100" w:beforeAutospacing="1" w:after="100" w:afterAutospacing="1" w:line="384" w:lineRule="atLeast"/>
        <w:rPr>
          <w:rFonts w:ascii="Arial" w:eastAsia="Times New Roman" w:hAnsi="Arial" w:cs="Arial"/>
          <w:b/>
          <w:bCs/>
          <w:sz w:val="24"/>
          <w:szCs w:val="24"/>
          <w:u w:val="single"/>
          <w:lang w:val="en-GB" w:eastAsia="en-IN"/>
        </w:rPr>
      </w:pPr>
    </w:p>
    <w:p w:rsidR="00AF03EE" w:rsidRDefault="00AF03EE" w:rsidP="00AF03EE">
      <w:pPr>
        <w:shd w:val="clear" w:color="auto" w:fill="FFFFFF"/>
        <w:spacing w:before="100" w:beforeAutospacing="1" w:after="100" w:afterAutospacing="1" w:line="384" w:lineRule="atLeast"/>
        <w:jc w:val="center"/>
        <w:rPr>
          <w:rFonts w:ascii="Arial" w:eastAsia="Times New Roman" w:hAnsi="Arial" w:cs="Arial"/>
          <w:b/>
          <w:bCs/>
          <w:sz w:val="48"/>
          <w:szCs w:val="48"/>
          <w:u w:val="single"/>
          <w:lang w:val="en-GB" w:eastAsia="en-IN"/>
        </w:rPr>
      </w:pPr>
      <w:r w:rsidRPr="00AF03EE">
        <w:rPr>
          <w:rFonts w:ascii="Arial" w:eastAsia="Times New Roman" w:hAnsi="Arial" w:cs="Arial"/>
          <w:b/>
          <w:bCs/>
          <w:sz w:val="48"/>
          <w:szCs w:val="48"/>
          <w:u w:val="single"/>
          <w:lang w:val="en-GB" w:eastAsia="en-IN"/>
        </w:rPr>
        <w:t>Theory of Knowledge (TOK)</w:t>
      </w:r>
    </w:p>
    <w:p w:rsidR="00AF03EE" w:rsidRPr="003F3114" w:rsidRDefault="00AF03EE" w:rsidP="00AF03EE">
      <w:pPr>
        <w:shd w:val="clear" w:color="auto" w:fill="FFFFFF"/>
        <w:spacing w:before="100" w:beforeAutospacing="1" w:after="100" w:afterAutospacing="1" w:line="384" w:lineRule="atLeast"/>
        <w:jc w:val="center"/>
        <w:rPr>
          <w:rFonts w:ascii="Arial" w:eastAsia="Times New Roman" w:hAnsi="Arial" w:cs="Arial"/>
          <w:sz w:val="48"/>
          <w:szCs w:val="48"/>
          <w:lang w:val="en-GB" w:eastAsia="en-IN"/>
        </w:rPr>
      </w:pPr>
    </w:p>
    <w:p w:rsidR="00AF03EE" w:rsidRPr="003F3114" w:rsidRDefault="00AF03EE" w:rsidP="00AF03EE">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4"/>
          <w:szCs w:val="24"/>
          <w:lang w:val="en-GB" w:eastAsia="en-IN"/>
        </w:rPr>
        <w:t xml:space="preserve">Brief Subject Introduction </w:t>
      </w:r>
    </w:p>
    <w:p w:rsidR="00AF03EE" w:rsidRPr="003F3114" w:rsidRDefault="00AF03EE" w:rsidP="00AF03EE">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TOK is one of the 3 essential courses that make up the core of the IBDP.  TOK encourages students to think about the nature of knowledge, to reflect on the process of learning and to make connections across the curriculum.  TOK is deeply linked to the IB learner profile as the students of TOK strive, through their TOK lessons, to hone their skills and inculcate the qualities and values which are found in the learner profile. Above all, TOK encourages all students to think critically, reflect deeply and act responsibly as they grow into people with a global and scholarly outlook.</w:t>
      </w:r>
    </w:p>
    <w:p w:rsidR="00AF03EE" w:rsidRPr="003F3114" w:rsidRDefault="00AF03EE" w:rsidP="00AF03EE">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As TOK is essentially a course about critical thinking and inquiring into the process of knowing, rather than learning a specific body of knowledge, students develop their understanding of themselves as first “</w:t>
      </w:r>
      <w:proofErr w:type="spellStart"/>
      <w:r w:rsidRPr="003F3114">
        <w:rPr>
          <w:rFonts w:ascii="Arial" w:eastAsia="Times New Roman" w:hAnsi="Arial" w:cs="Arial"/>
          <w:sz w:val="21"/>
          <w:szCs w:val="21"/>
          <w:lang w:val="en-GB" w:eastAsia="en-IN"/>
        </w:rPr>
        <w:t>knowers</w:t>
      </w:r>
      <w:proofErr w:type="spellEnd"/>
      <w:r w:rsidRPr="003F3114">
        <w:rPr>
          <w:rFonts w:ascii="Arial" w:eastAsia="Times New Roman" w:hAnsi="Arial" w:cs="Arial"/>
          <w:sz w:val="21"/>
          <w:szCs w:val="21"/>
          <w:lang w:val="en-GB" w:eastAsia="en-IN"/>
        </w:rPr>
        <w:t>” working through heart of the various ways and areas of knowing.  These three themes, “Knower”, “Ways of Knowing” and “Areas of Knowing” lie at the TOK course.</w:t>
      </w:r>
    </w:p>
    <w:p w:rsidR="00AF03EE" w:rsidRPr="003F3114" w:rsidRDefault="00AF03EE" w:rsidP="00AF03EE">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4"/>
          <w:szCs w:val="24"/>
          <w:lang w:val="en-GB" w:eastAsia="en-IN"/>
        </w:rPr>
        <w:t>Level Options</w:t>
      </w:r>
    </w:p>
    <w:p w:rsidR="00AF03EE" w:rsidRPr="003F3114" w:rsidRDefault="00AF03EE" w:rsidP="00AF03EE">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There is only one level for TOK.  The total instructional time for TOK is 100 hours.</w:t>
      </w:r>
    </w:p>
    <w:p w:rsidR="00AF03EE" w:rsidRPr="003F3114" w:rsidRDefault="00AF03EE" w:rsidP="00AF03EE">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4"/>
          <w:szCs w:val="24"/>
          <w:lang w:val="en-GB" w:eastAsia="en-IN"/>
        </w:rPr>
        <w:t xml:space="preserve">Assessment Criteria </w:t>
      </w:r>
    </w:p>
    <w:p w:rsidR="00AF03EE" w:rsidRPr="003F3114" w:rsidRDefault="00AF03EE" w:rsidP="00AF03EE">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The assessment model in TOK has two (2) components.   There is an essay and a presentation.  The essay contributes 67% of the final mark and the presentation contributes 33% of the final mark.</w:t>
      </w:r>
    </w:p>
    <w:p w:rsidR="00AF03EE" w:rsidRPr="003F3114" w:rsidRDefault="00AF03EE" w:rsidP="00AF03EE">
      <w:pPr>
        <w:numPr>
          <w:ilvl w:val="0"/>
          <w:numId w:val="1"/>
        </w:num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u w:val="single"/>
          <w:lang w:val="en-GB" w:eastAsia="en-IN"/>
        </w:rPr>
        <w:t>Essay on a Prescribed Title</w:t>
      </w:r>
    </w:p>
    <w:p w:rsidR="00AF03EE" w:rsidRPr="003F3114" w:rsidRDefault="00AF03EE" w:rsidP="00AF03EE">
      <w:pPr>
        <w:numPr>
          <w:ilvl w:val="0"/>
          <w:numId w:val="2"/>
        </w:num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lastRenderedPageBreak/>
        <w:t>An essay of no more than 1,600 words on a title chosen from a list of six (6) prescribed titles.</w:t>
      </w:r>
    </w:p>
    <w:p w:rsidR="00AF03EE" w:rsidRPr="003F3114" w:rsidRDefault="00AF03EE" w:rsidP="00AF03EE">
      <w:pPr>
        <w:numPr>
          <w:ilvl w:val="0"/>
          <w:numId w:val="2"/>
        </w:num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The essay will be externally assessed by the IBO.</w:t>
      </w:r>
    </w:p>
    <w:p w:rsidR="00AF03EE" w:rsidRPr="003F3114" w:rsidRDefault="00AF03EE" w:rsidP="00AF03EE">
      <w:pPr>
        <w:numPr>
          <w:ilvl w:val="0"/>
          <w:numId w:val="3"/>
        </w:num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u w:val="single"/>
          <w:lang w:val="en-GB" w:eastAsia="en-IN"/>
        </w:rPr>
        <w:t>Presentation</w:t>
      </w:r>
    </w:p>
    <w:p w:rsidR="00AF03EE" w:rsidRPr="003F3114" w:rsidRDefault="00AF03EE" w:rsidP="00AF03EE">
      <w:pPr>
        <w:numPr>
          <w:ilvl w:val="0"/>
          <w:numId w:val="4"/>
        </w:num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A ten (10) minute presentation to the class by an individual or a group of no more than 3, with each individual member doing a ten (10) minute presentation.</w:t>
      </w:r>
    </w:p>
    <w:p w:rsidR="00AF03EE" w:rsidRPr="003F3114" w:rsidRDefault="00AF03EE" w:rsidP="00AF03EE">
      <w:pPr>
        <w:numPr>
          <w:ilvl w:val="0"/>
          <w:numId w:val="4"/>
        </w:num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A written presentation planning document (TKPPD).</w:t>
      </w:r>
    </w:p>
    <w:p w:rsidR="00AF03EE" w:rsidRPr="003F3114" w:rsidRDefault="00AF03EE" w:rsidP="00AF03EE">
      <w:pPr>
        <w:numPr>
          <w:ilvl w:val="0"/>
          <w:numId w:val="4"/>
        </w:num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The presentation is recorded.</w:t>
      </w:r>
    </w:p>
    <w:p w:rsidR="00AF03EE" w:rsidRPr="003F3114" w:rsidRDefault="00AF03EE" w:rsidP="00AF03EE">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4"/>
          <w:szCs w:val="24"/>
          <w:lang w:val="en-GB" w:eastAsia="en-IN"/>
        </w:rPr>
        <w:t>Pre-Requisites</w:t>
      </w:r>
    </w:p>
    <w:p w:rsidR="00AF03EE" w:rsidRPr="003F3114" w:rsidRDefault="00AF03EE" w:rsidP="00AF03EE">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TOK is compulsory for all IBDP students. Students from IED are required to obtain minimally a pass in Philosophy of Discipline (POD).</w:t>
      </w:r>
    </w:p>
    <w:p w:rsidR="00AF03EE" w:rsidRPr="003F3114" w:rsidRDefault="00AF03EE" w:rsidP="00AF03EE">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b/>
          <w:bCs/>
          <w:sz w:val="24"/>
          <w:szCs w:val="24"/>
          <w:lang w:val="en-GB" w:eastAsia="en-IN"/>
        </w:rPr>
        <w:t>Other Useful Information</w:t>
      </w:r>
    </w:p>
    <w:p w:rsidR="00AF03EE" w:rsidRPr="003F3114" w:rsidRDefault="00AF03EE" w:rsidP="00AF03EE">
      <w:pPr>
        <w:shd w:val="clear" w:color="auto" w:fill="FFFFFF"/>
        <w:spacing w:before="100" w:beforeAutospacing="1" w:after="100" w:afterAutospacing="1" w:line="384" w:lineRule="atLeast"/>
        <w:rPr>
          <w:rFonts w:ascii="Arial" w:eastAsia="Times New Roman" w:hAnsi="Arial" w:cs="Arial"/>
          <w:sz w:val="24"/>
          <w:szCs w:val="24"/>
          <w:lang w:val="en-GB" w:eastAsia="en-IN"/>
        </w:rPr>
      </w:pPr>
      <w:r w:rsidRPr="003F3114">
        <w:rPr>
          <w:rFonts w:ascii="Arial" w:eastAsia="Times New Roman" w:hAnsi="Arial" w:cs="Arial"/>
          <w:sz w:val="21"/>
          <w:szCs w:val="21"/>
          <w:lang w:val="en-GB" w:eastAsia="en-IN"/>
        </w:rPr>
        <w:t>Please see TOK Coordinator for details.</w:t>
      </w:r>
    </w:p>
    <w:p w:rsidR="004F59FA" w:rsidRDefault="004F59FA"/>
    <w:sectPr w:rsidR="004F59FA" w:rsidSect="00AF03EE">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4502"/>
    <w:multiLevelType w:val="multilevel"/>
    <w:tmpl w:val="2448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3189F"/>
    <w:multiLevelType w:val="multilevel"/>
    <w:tmpl w:val="658E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837373"/>
    <w:multiLevelType w:val="multilevel"/>
    <w:tmpl w:val="B27CBB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6E546C30"/>
    <w:multiLevelType w:val="multilevel"/>
    <w:tmpl w:val="7C9839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03EE"/>
    <w:rsid w:val="00003E6C"/>
    <w:rsid w:val="00007C51"/>
    <w:rsid w:val="00041388"/>
    <w:rsid w:val="00044D8A"/>
    <w:rsid w:val="0005705B"/>
    <w:rsid w:val="000632D8"/>
    <w:rsid w:val="00074457"/>
    <w:rsid w:val="00075438"/>
    <w:rsid w:val="000A129B"/>
    <w:rsid w:val="000A18F5"/>
    <w:rsid w:val="000A77F1"/>
    <w:rsid w:val="000C2C88"/>
    <w:rsid w:val="000D6343"/>
    <w:rsid w:val="000F0CB0"/>
    <w:rsid w:val="00105312"/>
    <w:rsid w:val="00107BD9"/>
    <w:rsid w:val="001241F3"/>
    <w:rsid w:val="00124ADE"/>
    <w:rsid w:val="00126B5C"/>
    <w:rsid w:val="00135F3B"/>
    <w:rsid w:val="00150131"/>
    <w:rsid w:val="0015082F"/>
    <w:rsid w:val="00150DB0"/>
    <w:rsid w:val="00152295"/>
    <w:rsid w:val="00153047"/>
    <w:rsid w:val="00154834"/>
    <w:rsid w:val="00157F45"/>
    <w:rsid w:val="001672B8"/>
    <w:rsid w:val="00180061"/>
    <w:rsid w:val="00184A1B"/>
    <w:rsid w:val="001865A2"/>
    <w:rsid w:val="001969AF"/>
    <w:rsid w:val="001B66C3"/>
    <w:rsid w:val="001C33C4"/>
    <w:rsid w:val="001C639E"/>
    <w:rsid w:val="001C6905"/>
    <w:rsid w:val="001D4663"/>
    <w:rsid w:val="001F0551"/>
    <w:rsid w:val="001F1240"/>
    <w:rsid w:val="001F1A64"/>
    <w:rsid w:val="001F3B36"/>
    <w:rsid w:val="001F6350"/>
    <w:rsid w:val="0021790B"/>
    <w:rsid w:val="00224CBC"/>
    <w:rsid w:val="00230C9B"/>
    <w:rsid w:val="00236AFD"/>
    <w:rsid w:val="00247201"/>
    <w:rsid w:val="00261B52"/>
    <w:rsid w:val="002771E9"/>
    <w:rsid w:val="00281B9E"/>
    <w:rsid w:val="002823A4"/>
    <w:rsid w:val="002964DF"/>
    <w:rsid w:val="002B1102"/>
    <w:rsid w:val="002B4088"/>
    <w:rsid w:val="002C254B"/>
    <w:rsid w:val="002C3F2D"/>
    <w:rsid w:val="002D3F01"/>
    <w:rsid w:val="002D4778"/>
    <w:rsid w:val="002D4A07"/>
    <w:rsid w:val="002E0040"/>
    <w:rsid w:val="002E0841"/>
    <w:rsid w:val="002E46AC"/>
    <w:rsid w:val="002E7998"/>
    <w:rsid w:val="002F1D99"/>
    <w:rsid w:val="00305B3D"/>
    <w:rsid w:val="0030654D"/>
    <w:rsid w:val="00307752"/>
    <w:rsid w:val="00321FF5"/>
    <w:rsid w:val="00322999"/>
    <w:rsid w:val="00325F12"/>
    <w:rsid w:val="00332C45"/>
    <w:rsid w:val="00347706"/>
    <w:rsid w:val="003527FB"/>
    <w:rsid w:val="00357FA9"/>
    <w:rsid w:val="00362E90"/>
    <w:rsid w:val="00376F82"/>
    <w:rsid w:val="00393B4A"/>
    <w:rsid w:val="00395671"/>
    <w:rsid w:val="00395C8F"/>
    <w:rsid w:val="003B6954"/>
    <w:rsid w:val="003C5436"/>
    <w:rsid w:val="003D1364"/>
    <w:rsid w:val="003D19B0"/>
    <w:rsid w:val="003E1ABC"/>
    <w:rsid w:val="00402D23"/>
    <w:rsid w:val="0041154E"/>
    <w:rsid w:val="00412F2F"/>
    <w:rsid w:val="004179A1"/>
    <w:rsid w:val="004328D8"/>
    <w:rsid w:val="004526DC"/>
    <w:rsid w:val="004709D0"/>
    <w:rsid w:val="004904AD"/>
    <w:rsid w:val="004B739A"/>
    <w:rsid w:val="004D5159"/>
    <w:rsid w:val="004F59FA"/>
    <w:rsid w:val="00504C52"/>
    <w:rsid w:val="005055F0"/>
    <w:rsid w:val="005118C8"/>
    <w:rsid w:val="00512682"/>
    <w:rsid w:val="00527217"/>
    <w:rsid w:val="00527DD0"/>
    <w:rsid w:val="00534C6E"/>
    <w:rsid w:val="00535112"/>
    <w:rsid w:val="005427B4"/>
    <w:rsid w:val="005517A1"/>
    <w:rsid w:val="00562733"/>
    <w:rsid w:val="00562B41"/>
    <w:rsid w:val="005A505F"/>
    <w:rsid w:val="005A5772"/>
    <w:rsid w:val="005B1519"/>
    <w:rsid w:val="005C3C56"/>
    <w:rsid w:val="005C605E"/>
    <w:rsid w:val="005C629C"/>
    <w:rsid w:val="005E3B11"/>
    <w:rsid w:val="005E44DB"/>
    <w:rsid w:val="005E504E"/>
    <w:rsid w:val="005E7D2F"/>
    <w:rsid w:val="005F0BC8"/>
    <w:rsid w:val="005F4936"/>
    <w:rsid w:val="005F7AA7"/>
    <w:rsid w:val="00612F1F"/>
    <w:rsid w:val="006178FD"/>
    <w:rsid w:val="00620BFF"/>
    <w:rsid w:val="0063466C"/>
    <w:rsid w:val="00637074"/>
    <w:rsid w:val="00643758"/>
    <w:rsid w:val="00657914"/>
    <w:rsid w:val="00657E24"/>
    <w:rsid w:val="00664D3D"/>
    <w:rsid w:val="00667468"/>
    <w:rsid w:val="00671A0F"/>
    <w:rsid w:val="006817AE"/>
    <w:rsid w:val="006A28D6"/>
    <w:rsid w:val="006A381A"/>
    <w:rsid w:val="006C4E87"/>
    <w:rsid w:val="006E5F7D"/>
    <w:rsid w:val="006F50EB"/>
    <w:rsid w:val="007068AE"/>
    <w:rsid w:val="00710D1A"/>
    <w:rsid w:val="00711F16"/>
    <w:rsid w:val="007127EC"/>
    <w:rsid w:val="0072294C"/>
    <w:rsid w:val="00744ACA"/>
    <w:rsid w:val="00761EF3"/>
    <w:rsid w:val="00792B1A"/>
    <w:rsid w:val="00795BB8"/>
    <w:rsid w:val="007A2D6C"/>
    <w:rsid w:val="007A45E4"/>
    <w:rsid w:val="007B5E9C"/>
    <w:rsid w:val="007C735B"/>
    <w:rsid w:val="007D6637"/>
    <w:rsid w:val="007E04BA"/>
    <w:rsid w:val="007F2040"/>
    <w:rsid w:val="00803498"/>
    <w:rsid w:val="00812AA5"/>
    <w:rsid w:val="008135BC"/>
    <w:rsid w:val="0082693E"/>
    <w:rsid w:val="00835D3A"/>
    <w:rsid w:val="0085172A"/>
    <w:rsid w:val="00865301"/>
    <w:rsid w:val="00873342"/>
    <w:rsid w:val="008863D7"/>
    <w:rsid w:val="00892B70"/>
    <w:rsid w:val="008D7444"/>
    <w:rsid w:val="008E37D5"/>
    <w:rsid w:val="008F0352"/>
    <w:rsid w:val="008F14BA"/>
    <w:rsid w:val="008F5601"/>
    <w:rsid w:val="00900285"/>
    <w:rsid w:val="0091667E"/>
    <w:rsid w:val="009170F8"/>
    <w:rsid w:val="00931E8A"/>
    <w:rsid w:val="00932197"/>
    <w:rsid w:val="00933707"/>
    <w:rsid w:val="009364DB"/>
    <w:rsid w:val="00986179"/>
    <w:rsid w:val="00990CBB"/>
    <w:rsid w:val="009C5A99"/>
    <w:rsid w:val="009E164B"/>
    <w:rsid w:val="009E7BEC"/>
    <w:rsid w:val="009F353E"/>
    <w:rsid w:val="009F3AE6"/>
    <w:rsid w:val="009F3DCA"/>
    <w:rsid w:val="009F6877"/>
    <w:rsid w:val="00A02CF7"/>
    <w:rsid w:val="00A0439B"/>
    <w:rsid w:val="00A206A7"/>
    <w:rsid w:val="00A23D5E"/>
    <w:rsid w:val="00A26ABE"/>
    <w:rsid w:val="00A31977"/>
    <w:rsid w:val="00A365CB"/>
    <w:rsid w:val="00A4275E"/>
    <w:rsid w:val="00A5089B"/>
    <w:rsid w:val="00A52A28"/>
    <w:rsid w:val="00A574E2"/>
    <w:rsid w:val="00A60A45"/>
    <w:rsid w:val="00A61663"/>
    <w:rsid w:val="00A7590F"/>
    <w:rsid w:val="00AB0183"/>
    <w:rsid w:val="00AB7FA5"/>
    <w:rsid w:val="00AD01E5"/>
    <w:rsid w:val="00AE23A2"/>
    <w:rsid w:val="00AF03EE"/>
    <w:rsid w:val="00B06F18"/>
    <w:rsid w:val="00B1168E"/>
    <w:rsid w:val="00B376D1"/>
    <w:rsid w:val="00B470B4"/>
    <w:rsid w:val="00B54593"/>
    <w:rsid w:val="00B64494"/>
    <w:rsid w:val="00B968D2"/>
    <w:rsid w:val="00B96D54"/>
    <w:rsid w:val="00BB2160"/>
    <w:rsid w:val="00BB225C"/>
    <w:rsid w:val="00BB2F2E"/>
    <w:rsid w:val="00BC4936"/>
    <w:rsid w:val="00BC7079"/>
    <w:rsid w:val="00BD0EA1"/>
    <w:rsid w:val="00BD3973"/>
    <w:rsid w:val="00BD6A13"/>
    <w:rsid w:val="00C17009"/>
    <w:rsid w:val="00C210BA"/>
    <w:rsid w:val="00C23F90"/>
    <w:rsid w:val="00C26E70"/>
    <w:rsid w:val="00C3325C"/>
    <w:rsid w:val="00C41EB7"/>
    <w:rsid w:val="00C510B5"/>
    <w:rsid w:val="00C553B0"/>
    <w:rsid w:val="00C5634A"/>
    <w:rsid w:val="00C667FA"/>
    <w:rsid w:val="00C768B0"/>
    <w:rsid w:val="00C827A6"/>
    <w:rsid w:val="00C92B3E"/>
    <w:rsid w:val="00C957FA"/>
    <w:rsid w:val="00CB717E"/>
    <w:rsid w:val="00CC62CA"/>
    <w:rsid w:val="00CD1E14"/>
    <w:rsid w:val="00CD6F57"/>
    <w:rsid w:val="00CE63D7"/>
    <w:rsid w:val="00CE6686"/>
    <w:rsid w:val="00CF0297"/>
    <w:rsid w:val="00CF26FB"/>
    <w:rsid w:val="00CF497D"/>
    <w:rsid w:val="00D0778C"/>
    <w:rsid w:val="00D23361"/>
    <w:rsid w:val="00D2480C"/>
    <w:rsid w:val="00D43A0C"/>
    <w:rsid w:val="00D470C6"/>
    <w:rsid w:val="00D62EAE"/>
    <w:rsid w:val="00D707D1"/>
    <w:rsid w:val="00D7370C"/>
    <w:rsid w:val="00D74080"/>
    <w:rsid w:val="00D77BEB"/>
    <w:rsid w:val="00D80C65"/>
    <w:rsid w:val="00DA3A61"/>
    <w:rsid w:val="00DB769F"/>
    <w:rsid w:val="00DB7BF4"/>
    <w:rsid w:val="00DC0230"/>
    <w:rsid w:val="00DC04D1"/>
    <w:rsid w:val="00DC6B47"/>
    <w:rsid w:val="00DE4ED1"/>
    <w:rsid w:val="00DE5564"/>
    <w:rsid w:val="00DE6E4A"/>
    <w:rsid w:val="00DF0443"/>
    <w:rsid w:val="00E04F73"/>
    <w:rsid w:val="00E0734A"/>
    <w:rsid w:val="00E16DF6"/>
    <w:rsid w:val="00E206B7"/>
    <w:rsid w:val="00E22A95"/>
    <w:rsid w:val="00E368F8"/>
    <w:rsid w:val="00E402DA"/>
    <w:rsid w:val="00E474F8"/>
    <w:rsid w:val="00E678BF"/>
    <w:rsid w:val="00E7079D"/>
    <w:rsid w:val="00E814CF"/>
    <w:rsid w:val="00E83E3C"/>
    <w:rsid w:val="00E874F3"/>
    <w:rsid w:val="00E9007A"/>
    <w:rsid w:val="00E928E0"/>
    <w:rsid w:val="00E93BAF"/>
    <w:rsid w:val="00EA6417"/>
    <w:rsid w:val="00EC612E"/>
    <w:rsid w:val="00EE344A"/>
    <w:rsid w:val="00F06541"/>
    <w:rsid w:val="00F071BB"/>
    <w:rsid w:val="00F24583"/>
    <w:rsid w:val="00F268CF"/>
    <w:rsid w:val="00F30A29"/>
    <w:rsid w:val="00F316BF"/>
    <w:rsid w:val="00F4452B"/>
    <w:rsid w:val="00F67A82"/>
    <w:rsid w:val="00F73366"/>
    <w:rsid w:val="00F848F0"/>
    <w:rsid w:val="00F97CDC"/>
    <w:rsid w:val="00FA1A86"/>
    <w:rsid w:val="00FA5938"/>
    <w:rsid w:val="00FB0CFC"/>
    <w:rsid w:val="00FB4937"/>
    <w:rsid w:val="00FB70D2"/>
    <w:rsid w:val="00FC3F31"/>
    <w:rsid w:val="00FC5BAC"/>
    <w:rsid w:val="00FC6FDD"/>
    <w:rsid w:val="00FD0EC6"/>
    <w:rsid w:val="00FD1909"/>
    <w:rsid w:val="00FE09C6"/>
    <w:rsid w:val="00FF1DE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3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2015-08-21T05:47:00Z</dcterms:created>
  <dcterms:modified xsi:type="dcterms:W3CDTF">2015-08-21T05:49:00Z</dcterms:modified>
</cp:coreProperties>
</file>